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A0E1A"/>
          <w:sz w:val="32"/>
          <w:szCs w:val="32"/>
        </w:rPr>
        <w:t xml:space="preserve">Cyberlab Program — Privacy Notice</w:t>
      </w:r>
    </w:p>
    <w:p>
      <w:pPr>
        <w:spacing w:after="120"/>
      </w:pPr>
      <w:r>
        <w:rPr>
          <w:color w:val="5C6883"/>
          <w:sz w:val="20"/>
          <w:szCs w:val="20"/>
        </w:rPr>
        <w:t xml:space="preserve">Pairs with the Cyberlab Safety &amp; Consent Pack  ·  Born Between 2 Generals, LLC</w:t>
      </w:r>
    </w:p>
    <w:tbl>
      <w:tblPr>
        <w:tblW w:type="dxa" w:w="9360"/>
        <w:tblBorders>
          <w:top w:val="single" w:color="C62A2F" w:sz="12"/>
          <w:left w:val="single" w:color="C62A2F" w:sz="12"/>
          <w:bottom w:val="single" w:color="C62A2F" w:sz="12"/>
          <w:right w:val="single" w:color="C62A2F" w:sz="12"/>
          <w:insideH w:val="single" w:color="auto" w:sz="4"/>
          <w:insideV w:val="single" w:color="auto" w:sz="4"/>
        </w:tblBorders>
      </w:tblPr>
      <w:tblGrid>
        <w:gridCol w:w="9360"/>
      </w:tblGrid>
      <w:tr>
        <w:tc>
          <w:tcPr>
            <w:tcW w:type="dxa" w:w="9360"/>
            <w:shd w:fill="FDECEC" w:val="clear"/>
            <w:tcMar>
              <w:top w:type="dxa" w:w="120"/>
              <w:left w:type="dxa" w:w="140"/>
              <w:bottom w:type="dxa" w:w="120"/>
              <w:right w:type="dxa" w:w="140"/>
            </w:tcMar>
          </w:tcPr>
          <w:p>
            <w:r>
              <w:rPr>
                <w:b/>
                <w:bCs/>
                <w:color w:val="7A1416"/>
                <w:sz w:val="19"/>
                <w:szCs w:val="19"/>
              </w:rPr>
              <w:t xml:space="preserve">DRAFT FOR LEGAL REVIEW. This notice is a starting template, not legal advice. It must be reviewed and finalized by qualified privacy counsel — including COPPA and applicable state laws — before use.</w:t>
            </w:r>
          </w:p>
        </w:tc>
      </w:tr>
    </w:tbl>
    <w:p>
      <w:pPr>
        <w:spacing w:after="120"/>
      </w:pPr>
    </w:p>
    <w:p>
      <w:pPr>
        <w:spacing w:after="100"/>
      </w:pPr>
      <w:r>
        <w:rPr>
          <w:color w:val="222833"/>
          <w:sz w:val="21"/>
          <w:szCs w:val="21"/>
        </w:rPr>
        <w:t xml:space="preserve">This notice explains what information the Cyberlab program collects, why, how it is used and protected, and the choices participants and parents have. It is written to pair with the program's Consent Pack.</w:t>
      </w:r>
    </w:p>
    <w:p>
      <w:pPr>
        <w:pStyle w:val="Heading1"/>
        <w:spacing w:after="70" w:before="200"/>
      </w:pPr>
      <w:r>
        <w:rPr>
          <w:b/>
          <w:bCs/>
          <w:color w:val="0A0E1A"/>
          <w:sz w:val="23"/>
          <w:szCs w:val="23"/>
        </w:rPr>
        <w:t xml:space="preserve">1 · Who we are</w:t>
      </w:r>
    </w:p>
    <w:p>
      <w:pPr>
        <w:spacing w:after="100"/>
      </w:pPr>
      <w:r>
        <w:rPr>
          <w:color w:val="222833"/>
          <w:sz w:val="21"/>
          <w:szCs w:val="21"/>
        </w:rPr>
        <w:t xml:space="preserve">The Cyberlab program is operated under Born Between 2 Generals, LLC. Program apps are owned by the LLC and licensed/leased to participating organizations. Questions about this notice go to the contact listed at the end.</w:t>
      </w:r>
    </w:p>
    <w:p>
      <w:pPr>
        <w:pStyle w:val="Heading1"/>
        <w:spacing w:after="70" w:before="200"/>
      </w:pPr>
      <w:r>
        <w:rPr>
          <w:b/>
          <w:bCs/>
          <w:color w:val="0A0E1A"/>
          <w:sz w:val="23"/>
          <w:szCs w:val="23"/>
        </w:rPr>
        <w:t xml:space="preserve">2 · What we collect</w:t>
      </w:r>
    </w:p>
    <w:p>
      <w:pPr>
        <w:pStyle w:val="ListParagraph"/>
        <w:numPr>
          <w:ilvl w:val="0"/>
          <w:numId w:val="1"/>
        </w:numPr>
        <w:spacing w:after="50"/>
      </w:pPr>
      <w:r>
        <w:rPr>
          <w:b/>
          <w:bCs/>
          <w:color w:val="0A0E1A"/>
          <w:sz w:val="21"/>
          <w:szCs w:val="21"/>
        </w:rPr>
        <w:t xml:space="preserve">Registration — </w:t>
      </w:r>
      <w:r>
        <w:rPr>
          <w:color w:val="222833"/>
          <w:sz w:val="21"/>
          <w:szCs w:val="21"/>
        </w:rPr>
        <w:t xml:space="preserve">participant name, age/grade, and (for minors) parent/guardian name and contact.</w:t>
      </w:r>
    </w:p>
    <w:p>
      <w:pPr>
        <w:pStyle w:val="ListParagraph"/>
        <w:numPr>
          <w:ilvl w:val="0"/>
          <w:numId w:val="1"/>
        </w:numPr>
        <w:spacing w:after="50"/>
      </w:pPr>
      <w:r>
        <w:rPr>
          <w:b/>
          <w:bCs/>
          <w:color w:val="0A0E1A"/>
          <w:sz w:val="21"/>
          <w:szCs w:val="21"/>
        </w:rPr>
        <w:t xml:space="preserve">Safety — </w:t>
      </w:r>
      <w:r>
        <w:rPr>
          <w:color w:val="222833"/>
          <w:sz w:val="21"/>
          <w:szCs w:val="21"/>
        </w:rPr>
        <w:t xml:space="preserve">emergency contact and any medical/accessibility notes a family chooses to share.</w:t>
      </w:r>
    </w:p>
    <w:p>
      <w:pPr>
        <w:pStyle w:val="ListParagraph"/>
        <w:numPr>
          <w:ilvl w:val="0"/>
          <w:numId w:val="1"/>
        </w:numPr>
        <w:spacing w:after="50"/>
      </w:pPr>
      <w:r>
        <w:rPr>
          <w:b/>
          <w:bCs/>
          <w:color w:val="0A0E1A"/>
          <w:sz w:val="21"/>
          <w:szCs w:val="21"/>
        </w:rPr>
        <w:t xml:space="preserve">Program — </w:t>
      </w:r>
      <w:r>
        <w:rPr>
          <w:color w:val="222833"/>
          <w:sz w:val="21"/>
          <w:szCs w:val="21"/>
        </w:rPr>
        <w:t xml:space="preserve">attendance, progress, and certificates earned.</w:t>
      </w:r>
    </w:p>
    <w:p>
      <w:pPr>
        <w:pStyle w:val="ListParagraph"/>
        <w:numPr>
          <w:ilvl w:val="0"/>
          <w:numId w:val="1"/>
        </w:numPr>
        <w:spacing w:after="50"/>
      </w:pPr>
      <w:r>
        <w:rPr>
          <w:b/>
          <w:bCs/>
          <w:color w:val="0A0E1A"/>
          <w:sz w:val="21"/>
          <w:szCs w:val="21"/>
        </w:rPr>
        <w:t xml:space="preserve">Sandbox — </w:t>
      </w:r>
      <w:r>
        <w:rPr>
          <w:color w:val="222833"/>
          <w:sz w:val="21"/>
          <w:szCs w:val="21"/>
        </w:rPr>
        <w:t xml:space="preserve">activity within the isolated lab sandbox, logged for safety and compliance only.</w:t>
      </w:r>
    </w:p>
    <w:p>
      <w:pPr>
        <w:pStyle w:val="ListParagraph"/>
        <w:numPr>
          <w:ilvl w:val="0"/>
          <w:numId w:val="1"/>
        </w:numPr>
        <w:spacing w:after="50"/>
      </w:pPr>
      <w:r>
        <w:rPr>
          <w:b/>
          <w:bCs/>
          <w:color w:val="0A0E1A"/>
          <w:sz w:val="21"/>
          <w:szCs w:val="21"/>
        </w:rPr>
        <w:t xml:space="preserve">Media — </w:t>
      </w:r>
      <w:r>
        <w:rPr>
          <w:color w:val="222833"/>
          <w:sz w:val="21"/>
          <w:szCs w:val="21"/>
        </w:rPr>
        <w:t xml:space="preserve">photos/media only where a separate opt-in was given.</w:t>
      </w:r>
    </w:p>
    <w:p>
      <w:pPr>
        <w:pStyle w:val="Heading1"/>
        <w:spacing w:after="70" w:before="200"/>
      </w:pPr>
      <w:r>
        <w:rPr>
          <w:b/>
          <w:bCs/>
          <w:color w:val="0A0E1A"/>
          <w:sz w:val="23"/>
          <w:szCs w:val="23"/>
        </w:rPr>
        <w:t xml:space="preserve">3 · Why we collect it</w:t>
      </w:r>
    </w:p>
    <w:p>
      <w:pPr>
        <w:pStyle w:val="ListParagraph"/>
        <w:numPr>
          <w:ilvl w:val="0"/>
          <w:numId w:val="1"/>
        </w:numPr>
        <w:spacing w:after="50"/>
      </w:pPr>
      <w:r>
        <w:rPr>
          <w:b/>
          <w:bCs/>
          <w:color w:val="0A0E1A"/>
          <w:sz w:val="21"/>
          <w:szCs w:val="21"/>
        </w:rPr>
        <w:t xml:space="preserve"/>
      </w:r>
      <w:r>
        <w:rPr>
          <w:color w:val="222833"/>
          <w:sz w:val="21"/>
          <w:szCs w:val="21"/>
        </w:rPr>
        <w:t xml:space="preserve">to run the program safely, verify consent, and reach families in an emergency.</w:t>
      </w:r>
    </w:p>
    <w:p>
      <w:pPr>
        <w:pStyle w:val="ListParagraph"/>
        <w:numPr>
          <w:ilvl w:val="0"/>
          <w:numId w:val="1"/>
        </w:numPr>
        <w:spacing w:after="50"/>
      </w:pPr>
      <w:r>
        <w:rPr>
          <w:b/>
          <w:bCs/>
          <w:color w:val="0A0E1A"/>
          <w:sz w:val="21"/>
          <w:szCs w:val="21"/>
        </w:rPr>
        <w:t xml:space="preserve"/>
      </w:r>
      <w:r>
        <w:rPr>
          <w:color w:val="222833"/>
          <w:sz w:val="21"/>
          <w:szCs w:val="21"/>
        </w:rPr>
        <w:t xml:space="preserve">to track progress and issue certificates.</w:t>
      </w:r>
    </w:p>
    <w:p>
      <w:pPr>
        <w:pStyle w:val="ListParagraph"/>
        <w:numPr>
          <w:ilvl w:val="0"/>
          <w:numId w:val="1"/>
        </w:numPr>
        <w:spacing w:after="50"/>
      </w:pPr>
      <w:r>
        <w:rPr>
          <w:b/>
          <w:bCs/>
          <w:color w:val="0A0E1A"/>
          <w:sz w:val="21"/>
          <w:szCs w:val="21"/>
        </w:rPr>
        <w:t xml:space="preserve"/>
      </w:r>
      <w:r>
        <w:rPr>
          <w:color w:val="222833"/>
          <w:sz w:val="21"/>
          <w:szCs w:val="21"/>
        </w:rPr>
        <w:t xml:space="preserve">to keep the sandbox safe and enforce the authorized-use rules.</w:t>
      </w:r>
    </w:p>
    <w:p>
      <w:pPr>
        <w:spacing w:after="100"/>
      </w:pPr>
      <w:r>
        <w:rPr>
          <w:b/>
          <w:bCs/>
          <w:color w:val="222833"/>
          <w:sz w:val="21"/>
          <w:szCs w:val="21"/>
        </w:rPr>
        <w:t xml:space="preserve">We do not sell participant information, and we do not use it for advertising.</w:t>
      </w:r>
    </w:p>
    <w:p>
      <w:pPr>
        <w:pStyle w:val="Heading1"/>
        <w:spacing w:after="70" w:before="200"/>
      </w:pPr>
      <w:r>
        <w:rPr>
          <w:b/>
          <w:bCs/>
          <w:color w:val="0A0E1A"/>
          <w:sz w:val="23"/>
          <w:szCs w:val="23"/>
        </w:rPr>
        <w:t xml:space="preserve">4 · Children's privacy</w:t>
      </w:r>
    </w:p>
    <w:p>
      <w:pPr>
        <w:pStyle w:val="ListParagraph"/>
        <w:numPr>
          <w:ilvl w:val="0"/>
          <w:numId w:val="1"/>
        </w:numPr>
        <w:spacing w:after="50"/>
      </w:pPr>
      <w:r>
        <w:rPr>
          <w:b/>
          <w:bCs/>
          <w:color w:val="0A0E1A"/>
          <w:sz w:val="21"/>
          <w:szCs w:val="21"/>
        </w:rPr>
        <w:t xml:space="preserve">Consent — </w:t>
      </w:r>
      <w:r>
        <w:rPr>
          <w:color w:val="222833"/>
          <w:sz w:val="21"/>
          <w:szCs w:val="21"/>
        </w:rPr>
        <w:t xml:space="preserve">For participants under 18, a parent/guardian must consent before we collect information (see the Consent Pack).</w:t>
      </w:r>
    </w:p>
    <w:p>
      <w:pPr>
        <w:pStyle w:val="ListParagraph"/>
        <w:numPr>
          <w:ilvl w:val="0"/>
          <w:numId w:val="1"/>
        </w:numPr>
        <w:spacing w:after="50"/>
      </w:pPr>
      <w:r>
        <w:rPr>
          <w:b/>
          <w:bCs/>
          <w:color w:val="C62A2F"/>
          <w:sz w:val="21"/>
          <w:szCs w:val="21"/>
        </w:rPr>
        <w:t xml:space="preserve">COPPA — </w:t>
      </w:r>
      <w:r>
        <w:rPr>
          <w:color w:val="222833"/>
          <w:sz w:val="21"/>
          <w:szCs w:val="21"/>
        </w:rPr>
        <w:t xml:space="preserve">For children under 13, we follow COPPA: we collect only what's needed to run the program, with verifiable parental consent, and parents may review or delete their child's information.</w:t>
      </w:r>
    </w:p>
    <w:p>
      <w:pPr>
        <w:pStyle w:val="ListParagraph"/>
        <w:numPr>
          <w:ilvl w:val="0"/>
          <w:numId w:val="1"/>
        </w:numPr>
        <w:spacing w:after="50"/>
      </w:pPr>
      <w:r>
        <w:rPr>
          <w:b/>
          <w:bCs/>
          <w:color w:val="0A0E1A"/>
          <w:sz w:val="21"/>
          <w:szCs w:val="21"/>
        </w:rPr>
        <w:t xml:space="preserve">Minimization — </w:t>
      </w:r>
      <w:r>
        <w:rPr>
          <w:color w:val="222833"/>
          <w:sz w:val="21"/>
          <w:szCs w:val="21"/>
        </w:rPr>
        <w:t xml:space="preserve">Sandbox activity logging for minors is limited to safety and compliance and is not used to profile children.</w:t>
      </w:r>
    </w:p>
    <w:p>
      <w:pPr>
        <w:pStyle w:val="Heading1"/>
        <w:spacing w:after="70" w:before="200"/>
      </w:pPr>
      <w:r>
        <w:rPr>
          <w:b/>
          <w:bCs/>
          <w:color w:val="0A0E1A"/>
          <w:sz w:val="23"/>
          <w:szCs w:val="23"/>
        </w:rPr>
        <w:t xml:space="preserve">5 · How we share</w:t>
      </w:r>
    </w:p>
    <w:p>
      <w:pPr>
        <w:pStyle w:val="ListParagraph"/>
        <w:numPr>
          <w:ilvl w:val="0"/>
          <w:numId w:val="1"/>
        </w:numPr>
        <w:spacing w:after="50"/>
      </w:pPr>
      <w:r>
        <w:rPr>
          <w:b/>
          <w:bCs/>
          <w:color w:val="0A0E1A"/>
          <w:sz w:val="21"/>
          <w:szCs w:val="21"/>
        </w:rPr>
        <w:t xml:space="preserve"/>
      </w:r>
      <w:r>
        <w:rPr>
          <w:color w:val="222833"/>
          <w:sz w:val="21"/>
          <w:szCs w:val="21"/>
        </w:rPr>
        <w:t xml:space="preserve">with screened staff/mentors who need it to run the program safely.</w:t>
      </w:r>
    </w:p>
    <w:p>
      <w:pPr>
        <w:pStyle w:val="ListParagraph"/>
        <w:numPr>
          <w:ilvl w:val="0"/>
          <w:numId w:val="1"/>
        </w:numPr>
        <w:spacing w:after="50"/>
      </w:pPr>
      <w:r>
        <w:rPr>
          <w:b/>
          <w:bCs/>
          <w:color w:val="0A0E1A"/>
          <w:sz w:val="21"/>
          <w:szCs w:val="21"/>
        </w:rPr>
        <w:t xml:space="preserve"/>
      </w:r>
      <w:r>
        <w:rPr>
          <w:color w:val="222833"/>
          <w:sz w:val="21"/>
          <w:szCs w:val="21"/>
        </w:rPr>
        <w:t xml:space="preserve">with a participating organization/school only as needed for the participant's enrollment.</w:t>
      </w:r>
    </w:p>
    <w:p>
      <w:pPr>
        <w:pStyle w:val="ListParagraph"/>
        <w:numPr>
          <w:ilvl w:val="0"/>
          <w:numId w:val="1"/>
        </w:numPr>
        <w:spacing w:after="50"/>
      </w:pPr>
      <w:r>
        <w:rPr>
          <w:b/>
          <w:bCs/>
          <w:color w:val="0A0E1A"/>
          <w:sz w:val="21"/>
          <w:szCs w:val="21"/>
        </w:rPr>
        <w:t xml:space="preserve"/>
      </w:r>
      <w:r>
        <w:rPr>
          <w:color w:val="222833"/>
          <w:sz w:val="21"/>
          <w:szCs w:val="21"/>
        </w:rPr>
        <w:t xml:space="preserve">with service providers under contract (e.g., the lab/CTF range) bound to protect the data.</w:t>
      </w:r>
    </w:p>
    <w:p>
      <w:pPr>
        <w:pStyle w:val="ListParagraph"/>
        <w:numPr>
          <w:ilvl w:val="0"/>
          <w:numId w:val="1"/>
        </w:numPr>
        <w:spacing w:after="50"/>
      </w:pPr>
      <w:r>
        <w:rPr>
          <w:b/>
          <w:bCs/>
          <w:color w:val="0A0E1A"/>
          <w:sz w:val="21"/>
          <w:szCs w:val="21"/>
        </w:rPr>
        <w:t xml:space="preserve"/>
      </w:r>
      <w:r>
        <w:rPr>
          <w:color w:val="222833"/>
          <w:sz w:val="21"/>
          <w:szCs w:val="21"/>
        </w:rPr>
        <w:t xml:space="preserve">when required by law, or to protect the safety of a child or others.</w:t>
      </w:r>
    </w:p>
    <w:p>
      <w:pPr>
        <w:spacing w:after="100"/>
      </w:pPr>
      <w:r>
        <w:rPr>
          <w:b/>
          <w:bCs/>
          <w:color w:val="222833"/>
          <w:sz w:val="21"/>
          <w:szCs w:val="21"/>
        </w:rPr>
        <w:t xml:space="preserve">We do not share participant information with advertisers or data brokers.</w:t>
      </w:r>
    </w:p>
    <w:p>
      <w:pPr>
        <w:pStyle w:val="Heading1"/>
        <w:spacing w:after="70" w:before="200"/>
      </w:pPr>
      <w:r>
        <w:rPr>
          <w:b/>
          <w:bCs/>
          <w:color w:val="0A0E1A"/>
          <w:sz w:val="23"/>
          <w:szCs w:val="23"/>
        </w:rPr>
        <w:t xml:space="preserve">6 · How long we keep it</w:t>
      </w:r>
    </w:p>
    <w:p>
      <w:pPr>
        <w:pStyle w:val="ListParagraph"/>
        <w:numPr>
          <w:ilvl w:val="0"/>
          <w:numId w:val="1"/>
        </w:numPr>
        <w:spacing w:after="50"/>
      </w:pPr>
      <w:r>
        <w:rPr>
          <w:b/>
          <w:bCs/>
          <w:color w:val="0A0E1A"/>
          <w:sz w:val="21"/>
          <w:szCs w:val="21"/>
        </w:rPr>
        <w:t xml:space="preserve"/>
      </w:r>
      <w:r>
        <w:rPr>
          <w:color w:val="222833"/>
          <w:sz w:val="21"/>
          <w:szCs w:val="21"/>
        </w:rPr>
        <w:t xml:space="preserve">registration and safety records: for the program term plus a limited period required by law or insurance, then deleted.</w:t>
      </w:r>
    </w:p>
    <w:p>
      <w:pPr>
        <w:pStyle w:val="ListParagraph"/>
        <w:numPr>
          <w:ilvl w:val="0"/>
          <w:numId w:val="1"/>
        </w:numPr>
        <w:spacing w:after="50"/>
      </w:pPr>
      <w:r>
        <w:rPr>
          <w:b/>
          <w:bCs/>
          <w:color w:val="0A0E1A"/>
          <w:sz w:val="21"/>
          <w:szCs w:val="21"/>
        </w:rPr>
        <w:t xml:space="preserve"/>
      </w:r>
      <w:r>
        <w:rPr>
          <w:color w:val="222833"/>
          <w:sz w:val="21"/>
          <w:szCs w:val="21"/>
        </w:rPr>
        <w:t xml:space="preserve">sandbox logs: a short retention window for safety review, then deleted.</w:t>
      </w:r>
    </w:p>
    <w:p>
      <w:pPr>
        <w:pStyle w:val="ListParagraph"/>
        <w:numPr>
          <w:ilvl w:val="0"/>
          <w:numId w:val="1"/>
        </w:numPr>
        <w:spacing w:after="50"/>
      </w:pPr>
      <w:r>
        <w:rPr>
          <w:b/>
          <w:bCs/>
          <w:color w:val="0A0E1A"/>
          <w:sz w:val="21"/>
          <w:szCs w:val="21"/>
        </w:rPr>
        <w:t xml:space="preserve"/>
      </w:r>
      <w:r>
        <w:rPr>
          <w:color w:val="222833"/>
          <w:sz w:val="21"/>
          <w:szCs w:val="21"/>
        </w:rPr>
        <w:t xml:space="preserve">certificates: retained so participants can verify completion.</w:t>
      </w:r>
    </w:p>
    <w:p>
      <w:pPr>
        <w:spacing w:after="60"/>
      </w:pPr>
      <w:r>
        <w:rPr>
          <w:i/>
          <w:iCs/>
          <w:color w:val="5C6883"/>
          <w:sz w:val="16"/>
          <w:szCs w:val="16"/>
        </w:rPr>
        <w:t xml:space="preserve">Counsel should set exact retention periods for your jurisdiction.</w:t>
      </w:r>
    </w:p>
    <w:p>
      <w:pPr>
        <w:pStyle w:val="Heading1"/>
        <w:spacing w:after="70" w:before="200"/>
      </w:pPr>
      <w:r>
        <w:rPr>
          <w:b/>
          <w:bCs/>
          <w:color w:val="0A0E1A"/>
          <w:sz w:val="23"/>
          <w:szCs w:val="23"/>
        </w:rPr>
        <w:t xml:space="preserve">7 · How we protect it</w:t>
      </w:r>
    </w:p>
    <w:p>
      <w:pPr>
        <w:pStyle w:val="ListParagraph"/>
        <w:numPr>
          <w:ilvl w:val="0"/>
          <w:numId w:val="1"/>
        </w:numPr>
        <w:spacing w:after="50"/>
      </w:pPr>
      <w:r>
        <w:rPr>
          <w:b/>
          <w:bCs/>
          <w:color w:val="0A0E1A"/>
          <w:sz w:val="21"/>
          <w:szCs w:val="21"/>
        </w:rPr>
        <w:t xml:space="preserve"/>
      </w:r>
      <w:r>
        <w:rPr>
          <w:color w:val="222833"/>
          <w:sz w:val="21"/>
          <w:szCs w:val="21"/>
        </w:rPr>
        <w:t xml:space="preserve">access is limited to screened staff on a need-to-know basis.</w:t>
      </w:r>
    </w:p>
    <w:p>
      <w:pPr>
        <w:pStyle w:val="ListParagraph"/>
        <w:numPr>
          <w:ilvl w:val="0"/>
          <w:numId w:val="1"/>
        </w:numPr>
        <w:spacing w:after="50"/>
      </w:pPr>
      <w:r>
        <w:rPr>
          <w:b/>
          <w:bCs/>
          <w:color w:val="0A0E1A"/>
          <w:sz w:val="21"/>
          <w:szCs w:val="21"/>
        </w:rPr>
        <w:t xml:space="preserve"/>
      </w:r>
      <w:r>
        <w:rPr>
          <w:color w:val="222833"/>
          <w:sz w:val="21"/>
          <w:szCs w:val="21"/>
        </w:rPr>
        <w:t xml:space="preserve">data is stored with appropriate technical and organizational safeguards, consistent with the portfolio's privacy-by-design posture.</w:t>
      </w:r>
    </w:p>
    <w:p>
      <w:pPr>
        <w:pStyle w:val="ListParagraph"/>
        <w:numPr>
          <w:ilvl w:val="0"/>
          <w:numId w:val="1"/>
        </w:numPr>
        <w:spacing w:after="50"/>
      </w:pPr>
      <w:r>
        <w:rPr>
          <w:b/>
          <w:bCs/>
          <w:color w:val="0A0E1A"/>
          <w:sz w:val="21"/>
          <w:szCs w:val="21"/>
        </w:rPr>
        <w:t xml:space="preserve"/>
      </w:r>
      <w:r>
        <w:rPr>
          <w:color w:val="222833"/>
          <w:sz w:val="21"/>
          <w:szCs w:val="21"/>
        </w:rPr>
        <w:t xml:space="preserve">child-safety protections are never traded away for convenience or cost.</w:t>
      </w:r>
    </w:p>
    <w:p>
      <w:pPr>
        <w:pStyle w:val="Heading1"/>
        <w:spacing w:after="70" w:before="200"/>
      </w:pPr>
      <w:r>
        <w:rPr>
          <w:b/>
          <w:bCs/>
          <w:color w:val="0A0E1A"/>
          <w:sz w:val="23"/>
          <w:szCs w:val="23"/>
        </w:rPr>
        <w:t xml:space="preserve">8 · Your choices and rights</w:t>
      </w:r>
    </w:p>
    <w:p>
      <w:pPr>
        <w:pStyle w:val="ListParagraph"/>
        <w:numPr>
          <w:ilvl w:val="0"/>
          <w:numId w:val="1"/>
        </w:numPr>
        <w:spacing w:after="50"/>
      </w:pPr>
      <w:r>
        <w:rPr>
          <w:b/>
          <w:bCs/>
          <w:color w:val="0A0E1A"/>
          <w:sz w:val="21"/>
          <w:szCs w:val="21"/>
        </w:rPr>
        <w:t xml:space="preserve"/>
      </w:r>
      <w:r>
        <w:rPr>
          <w:color w:val="222833"/>
          <w:sz w:val="21"/>
          <w:szCs w:val="21"/>
        </w:rPr>
        <w:t xml:space="preserve">parents/guardians may review, correct, or request deletion of a minor's information.</w:t>
      </w:r>
    </w:p>
    <w:p>
      <w:pPr>
        <w:pStyle w:val="ListParagraph"/>
        <w:numPr>
          <w:ilvl w:val="0"/>
          <w:numId w:val="1"/>
        </w:numPr>
        <w:spacing w:after="50"/>
      </w:pPr>
      <w:r>
        <w:rPr>
          <w:b/>
          <w:bCs/>
          <w:color w:val="0A0E1A"/>
          <w:sz w:val="21"/>
          <w:szCs w:val="21"/>
        </w:rPr>
        <w:t xml:space="preserve"/>
      </w:r>
      <w:r>
        <w:rPr>
          <w:color w:val="222833"/>
          <w:sz w:val="21"/>
          <w:szCs w:val="21"/>
        </w:rPr>
        <w:t xml:space="preserve">the photo/media opt-in can be declined or withdrawn at any time.</w:t>
      </w:r>
    </w:p>
    <w:p>
      <w:pPr>
        <w:pStyle w:val="ListParagraph"/>
        <w:numPr>
          <w:ilvl w:val="0"/>
          <w:numId w:val="1"/>
        </w:numPr>
        <w:spacing w:after="50"/>
      </w:pPr>
      <w:r>
        <w:rPr>
          <w:b/>
          <w:bCs/>
          <w:color w:val="0A0E1A"/>
          <w:sz w:val="21"/>
          <w:szCs w:val="21"/>
        </w:rPr>
        <w:t xml:space="preserve"/>
      </w:r>
      <w:r>
        <w:rPr>
          <w:color w:val="222833"/>
          <w:sz w:val="21"/>
          <w:szCs w:val="21"/>
        </w:rPr>
        <w:t xml:space="preserve">you may withdraw a participant from the program; we then delete information we are not required to keep.</w:t>
      </w:r>
    </w:p>
    <w:p>
      <w:pPr>
        <w:spacing w:after="60"/>
      </w:pPr>
      <w:r>
        <w:rPr>
          <w:i/>
          <w:iCs/>
          <w:color w:val="5C6883"/>
          <w:sz w:val="16"/>
          <w:szCs w:val="16"/>
        </w:rPr>
        <w:t xml:space="preserve">Depending on your state or country, additional rights may apply; counsel should add the specific rights and request process.</w:t>
      </w:r>
    </w:p>
    <w:p>
      <w:pPr>
        <w:pStyle w:val="Heading1"/>
        <w:spacing w:after="70" w:before="200"/>
      </w:pPr>
      <w:r>
        <w:rPr>
          <w:b/>
          <w:bCs/>
          <w:color w:val="0A0E1A"/>
          <w:sz w:val="23"/>
          <w:szCs w:val="23"/>
        </w:rPr>
        <w:t xml:space="preserve">9 · Changes to this notice</w:t>
      </w:r>
    </w:p>
    <w:p>
      <w:pPr>
        <w:spacing w:after="100"/>
      </w:pPr>
      <w:r>
        <w:rPr>
          <w:color w:val="222833"/>
          <w:sz w:val="21"/>
          <w:szCs w:val="21"/>
        </w:rPr>
        <w:t xml:space="preserve">If we change this notice, we will post the updated version and, for material changes affecting minors, seek renewed parental consent where required.</w:t>
      </w:r>
    </w:p>
    <w:p>
      <w:pPr>
        <w:pStyle w:val="Heading1"/>
        <w:spacing w:after="70" w:before="200"/>
      </w:pPr>
      <w:r>
        <w:rPr>
          <w:b/>
          <w:bCs/>
          <w:color w:val="0A0E1A"/>
          <w:sz w:val="23"/>
          <w:szCs w:val="23"/>
        </w:rPr>
        <w:t xml:space="preserve">10 · Contact</w:t>
      </w:r>
    </w:p>
    <w:p>
      <w:pPr>
        <w:spacing w:after="100"/>
      </w:pPr>
      <w:r>
        <w:rPr>
          <w:color w:val="222833"/>
          <w:sz w:val="21"/>
          <w:szCs w:val="21"/>
        </w:rPr>
        <w:t xml:space="preserve">Privacy questions and requests: Kristen Hall — kristen@americasfuture.net.</w:t>
      </w:r>
    </w:p>
    <w:p>
      <w:pPr>
        <w:pBdr>
          <w:bottom w:val="single" w:color="D5D9E0" w:sz="6"/>
        </w:pBdr>
        <w:spacing w:after="120"/>
      </w:pPr>
    </w:p>
    <w:p>
      <w:pPr>
        <w:spacing w:after="60"/>
      </w:pPr>
      <w:r>
        <w:rPr>
          <w:i/>
          <w:iCs/>
          <w:color w:val="5C6883"/>
          <w:sz w:val="16"/>
          <w:szCs w:val="16"/>
        </w:rPr>
        <w:t xml:space="preserve">This is a draft template, not legal advice, and does not create an attorney-client relationship. Have qualified privacy counsel finalize it (COPPA, FERPA if applicable, and state privacy laws) before use. Standing gates: Bill Olson (commercial/EULA) and R. Emmett McAuliffe (IP/trademark).</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2026-07-16T20:11:46.958Z</dcterms:created>
  <dcterms:modified xsi:type="dcterms:W3CDTF">2026-07-16T20:11:46.982Z</dcterms:modified>
</cp:coreProperties>
</file>

<file path=docProps/custom.xml><?xml version="1.0" encoding="utf-8"?>
<Properties xmlns="http://schemas.openxmlformats.org/officeDocument/2006/custom-properties" xmlns:vt="http://schemas.openxmlformats.org/officeDocument/2006/docPropsVTypes"/>
</file>